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A4786"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230558DA" w14:textId="61A55546" w:rsidR="004330C6" w:rsidRPr="008A4786" w:rsidRDefault="004330C6" w:rsidP="003817D3">
      <w:pPr>
        <w:rPr>
          <w:rFonts w:ascii="Arial" w:hAnsi="Arial"/>
          <w:b/>
          <w:color w:val="000000" w:themeColor="text1"/>
          <w:sz w:val="28"/>
          <w:bdr w:val="none" w:sz="0" w:space="0" w:color="auto" w:frame="1"/>
        </w:rPr>
      </w:pPr>
    </w:p>
    <w:p w14:paraId="1F2E7A7D" w14:textId="77777777" w:rsidR="004330C6" w:rsidRPr="008A4786" w:rsidRDefault="004330C6" w:rsidP="003817D3">
      <w:pPr>
        <w:rPr>
          <w:rFonts w:ascii="Arial" w:hAnsi="Arial"/>
          <w:b/>
          <w:color w:val="000000" w:themeColor="text1"/>
          <w:sz w:val="28"/>
          <w:bdr w:val="none" w:sz="0" w:space="0" w:color="auto" w:frame="1"/>
        </w:rPr>
      </w:pPr>
    </w:p>
    <w:p w14:paraId="39088B19" w14:textId="1D736141" w:rsidR="00BD53E0" w:rsidRDefault="00006731" w:rsidP="00983DED">
      <w:pPr>
        <w:rPr>
          <w:rFonts w:ascii="Calibri" w:hAnsi="Calibri" w:cs="Calibri"/>
          <w:b/>
          <w:sz w:val="44"/>
          <w:szCs w:val="44"/>
        </w:rPr>
      </w:pPr>
      <w:r w:rsidRPr="00B0539B">
        <w:rPr>
          <w:rFonts w:ascii="Calibri" w:hAnsi="Calibri"/>
          <w:b/>
          <w:sz w:val="44"/>
          <w:szCs w:val="44"/>
        </w:rPr>
        <w:t xml:space="preserve">Shape </w:t>
      </w:r>
      <w:proofErr w:type="spellStart"/>
      <w:r w:rsidRPr="00B0539B">
        <w:rPr>
          <w:rFonts w:ascii="Calibri" w:hAnsi="Calibri"/>
          <w:b/>
          <w:sz w:val="44"/>
          <w:szCs w:val="44"/>
        </w:rPr>
        <w:t>Spaces</w:t>
      </w:r>
      <w:proofErr w:type="spellEnd"/>
      <w:r w:rsidRPr="00B0539B">
        <w:rPr>
          <w:rFonts w:ascii="Calibri" w:hAnsi="Calibri"/>
          <w:b/>
          <w:sz w:val="44"/>
          <w:szCs w:val="44"/>
        </w:rPr>
        <w:t xml:space="preserve">. </w:t>
      </w:r>
      <w:proofErr w:type="spellStart"/>
      <w:r w:rsidRPr="00B0539B">
        <w:rPr>
          <w:rFonts w:ascii="Calibri" w:hAnsi="Calibri"/>
          <w:b/>
          <w:sz w:val="44"/>
          <w:szCs w:val="44"/>
        </w:rPr>
        <w:t>Create</w:t>
      </w:r>
      <w:proofErr w:type="spellEnd"/>
      <w:r w:rsidRPr="00B0539B">
        <w:rPr>
          <w:rFonts w:ascii="Calibri" w:hAnsi="Calibri"/>
          <w:b/>
          <w:sz w:val="44"/>
          <w:szCs w:val="44"/>
        </w:rPr>
        <w:t xml:space="preserve"> Motion</w:t>
      </w:r>
      <w:r w:rsidR="00445D1E">
        <w:rPr>
          <w:rFonts w:ascii="Calibri" w:hAnsi="Calibri"/>
          <w:b/>
          <w:sz w:val="44"/>
          <w:szCs w:val="44"/>
        </w:rPr>
        <w:t xml:space="preserve"> </w:t>
      </w:r>
      <w:r w:rsidRPr="00B0539B">
        <w:rPr>
          <w:rFonts w:ascii="Calibri" w:hAnsi="Calibri"/>
          <w:b/>
          <w:sz w:val="44"/>
          <w:szCs w:val="44"/>
        </w:rPr>
        <w:t xml:space="preserve">: </w:t>
      </w:r>
      <w:proofErr w:type="spellStart"/>
      <w:r>
        <w:rPr>
          <w:rFonts w:ascii="Calibri" w:hAnsi="Calibri"/>
          <w:b/>
          <w:sz w:val="44"/>
        </w:rPr>
        <w:t>Cameo</w:t>
      </w:r>
      <w:proofErr w:type="spellEnd"/>
      <w:r>
        <w:rPr>
          <w:rFonts w:ascii="Calibri" w:hAnsi="Calibri"/>
          <w:b/>
          <w:sz w:val="44"/>
        </w:rPr>
        <w:t xml:space="preserve"> enrichit sa série OTOS® avec les nouvelles barres mobiles IP65 OTOS® LC12 et OTOS® L16</w:t>
      </w:r>
    </w:p>
    <w:p w14:paraId="4E4C6F6C" w14:textId="77777777" w:rsidR="00006731" w:rsidRPr="00795B52" w:rsidRDefault="00006731" w:rsidP="00983DED">
      <w:pPr>
        <w:rPr>
          <w:rFonts w:ascii="Calibri" w:hAnsi="Calibri" w:cs="Calibri"/>
          <w:b/>
          <w:color w:val="000000" w:themeColor="text1"/>
          <w:sz w:val="44"/>
          <w:szCs w:val="44"/>
        </w:rPr>
      </w:pPr>
    </w:p>
    <w:p w14:paraId="7E984434" w14:textId="0B802CB7" w:rsidR="002544C4" w:rsidRDefault="00983DED" w:rsidP="00CC419B">
      <w:pPr>
        <w:rPr>
          <w:rFonts w:ascii="Calibri" w:hAnsi="Calibri" w:cs="Calibri"/>
          <w:b/>
          <w:bCs/>
          <w:color w:val="000000" w:themeColor="text1"/>
          <w:sz w:val="22"/>
          <w:szCs w:val="22"/>
          <w:bdr w:val="none" w:sz="0" w:space="0" w:color="auto" w:frame="1"/>
        </w:rPr>
      </w:pPr>
      <w:proofErr w:type="spellStart"/>
      <w:r>
        <w:rPr>
          <w:rFonts w:ascii="Calibri" w:hAnsi="Calibri"/>
          <w:b/>
          <w:color w:val="0D0D0D" w:themeColor="text1" w:themeTint="F2"/>
          <w:sz w:val="22"/>
          <w:bdr w:val="none" w:sz="0" w:space="0" w:color="auto" w:frame="1"/>
        </w:rPr>
        <w:t>Neu-Anspach</w:t>
      </w:r>
      <w:proofErr w:type="spellEnd"/>
      <w:r>
        <w:rPr>
          <w:rFonts w:ascii="Calibri" w:hAnsi="Calibri"/>
          <w:b/>
          <w:color w:val="0D0D0D" w:themeColor="text1" w:themeTint="F2"/>
          <w:sz w:val="22"/>
          <w:bdr w:val="none" w:sz="0" w:space="0" w:color="auto" w:frame="1"/>
        </w:rPr>
        <w:t>, Allemagne – </w:t>
      </w:r>
      <w:r>
        <w:rPr>
          <w:rFonts w:ascii="Calibri" w:hAnsi="Calibri"/>
          <w:b/>
          <w:sz w:val="22"/>
          <w:bdr w:val="none" w:sz="0" w:space="0" w:color="auto" w:frame="1"/>
        </w:rPr>
        <w:t xml:space="preserve">23 avril 2026 </w:t>
      </w:r>
      <w:r>
        <w:rPr>
          <w:rFonts w:ascii="Calibri" w:hAnsi="Calibri"/>
          <w:b/>
          <w:color w:val="0D0D0D" w:themeColor="text1" w:themeTint="F2"/>
          <w:sz w:val="22"/>
          <w:bdr w:val="none" w:sz="0" w:space="0" w:color="auto" w:frame="1"/>
        </w:rPr>
        <w:t>–</w:t>
      </w:r>
      <w:r>
        <w:rPr>
          <w:rFonts w:ascii="Calibri" w:hAnsi="Calibri"/>
          <w:b/>
          <w:color w:val="000000" w:themeColor="text1"/>
          <w:sz w:val="22"/>
          <w:bdr w:val="none" w:sz="0" w:space="0" w:color="auto" w:frame="1"/>
        </w:rPr>
        <w:t xml:space="preserve"> Avec les modèles OTOS LC12 et OTOS L16, </w:t>
      </w:r>
      <w:proofErr w:type="spellStart"/>
      <w:r>
        <w:rPr>
          <w:rFonts w:ascii="Calibri" w:hAnsi="Calibri"/>
          <w:b/>
          <w:color w:val="000000" w:themeColor="text1"/>
          <w:sz w:val="22"/>
          <w:bdr w:val="none" w:sz="0" w:space="0" w:color="auto" w:frame="1"/>
        </w:rPr>
        <w:t>Cameo</w:t>
      </w:r>
      <w:proofErr w:type="spellEnd"/>
      <w:r>
        <w:rPr>
          <w:rFonts w:ascii="Calibri" w:hAnsi="Calibri"/>
          <w:b/>
          <w:color w:val="000000" w:themeColor="text1"/>
          <w:sz w:val="22"/>
          <w:bdr w:val="none" w:sz="0" w:space="0" w:color="auto" w:frame="1"/>
        </w:rPr>
        <w:t xml:space="preserve"> ajoute à sa série OTOS deux solutions linéaires certifiées IP65 pour les scénarios d’éclairage dynamiques dans le secteur de l’événementiel et des tournées. Dans l’esprit de la devise « Shape </w:t>
      </w:r>
      <w:proofErr w:type="spellStart"/>
      <w:r>
        <w:rPr>
          <w:rFonts w:ascii="Calibri" w:hAnsi="Calibri"/>
          <w:b/>
          <w:color w:val="000000" w:themeColor="text1"/>
          <w:sz w:val="22"/>
          <w:bdr w:val="none" w:sz="0" w:space="0" w:color="auto" w:frame="1"/>
        </w:rPr>
        <w:t>Spaces</w:t>
      </w:r>
      <w:proofErr w:type="spellEnd"/>
      <w:r>
        <w:rPr>
          <w:rFonts w:ascii="Calibri" w:hAnsi="Calibri"/>
          <w:b/>
          <w:color w:val="000000" w:themeColor="text1"/>
          <w:sz w:val="22"/>
          <w:bdr w:val="none" w:sz="0" w:space="0" w:color="auto" w:frame="1"/>
        </w:rPr>
        <w:t xml:space="preserve">. </w:t>
      </w:r>
      <w:proofErr w:type="spellStart"/>
      <w:r>
        <w:rPr>
          <w:rFonts w:ascii="Calibri" w:hAnsi="Calibri"/>
          <w:b/>
          <w:color w:val="000000" w:themeColor="text1"/>
          <w:sz w:val="22"/>
          <w:bdr w:val="none" w:sz="0" w:space="0" w:color="auto" w:frame="1"/>
        </w:rPr>
        <w:t>Create</w:t>
      </w:r>
      <w:proofErr w:type="spellEnd"/>
      <w:r>
        <w:rPr>
          <w:rFonts w:ascii="Calibri" w:hAnsi="Calibri"/>
          <w:b/>
          <w:color w:val="000000" w:themeColor="text1"/>
          <w:sz w:val="22"/>
          <w:bdr w:val="none" w:sz="0" w:space="0" w:color="auto" w:frame="1"/>
        </w:rPr>
        <w:t xml:space="preserve"> Motion », ces deux barres mobiles sont destinées aux éclairagistes, aux sociétés de location et aux prestataires de services de production qui souhaitent réaliser des effets précis, dynamiques et visuellement cohérents, en intérieur comme en extérieur. Ces modèles offrent également des couleurs et styles semblables au reste de la série OTOS, ainsi que des possibilités créatives polyvalentes et une manipulation pratique.</w:t>
      </w:r>
    </w:p>
    <w:p w14:paraId="12E3800C" w14:textId="77777777" w:rsidR="002544C4" w:rsidRDefault="002544C4" w:rsidP="00CC419B">
      <w:pPr>
        <w:rPr>
          <w:rFonts w:ascii="Calibri" w:hAnsi="Calibri" w:cs="Calibri"/>
          <w:b/>
          <w:bCs/>
          <w:color w:val="000000" w:themeColor="text1"/>
          <w:sz w:val="22"/>
          <w:szCs w:val="22"/>
          <w:bdr w:val="none" w:sz="0" w:space="0" w:color="auto" w:frame="1"/>
        </w:rPr>
      </w:pPr>
    </w:p>
    <w:p w14:paraId="14EE00EB" w14:textId="198302E3" w:rsidR="00006731" w:rsidRPr="00006731" w:rsidRDefault="00006731" w:rsidP="00006731">
      <w:pPr>
        <w:rPr>
          <w:rFonts w:ascii="Calibri" w:hAnsi="Calibri" w:cs="Calibri"/>
          <w:sz w:val="22"/>
          <w:szCs w:val="22"/>
        </w:rPr>
      </w:pPr>
      <w:r>
        <w:rPr>
          <w:rFonts w:ascii="Calibri" w:hAnsi="Calibri"/>
          <w:sz w:val="22"/>
        </w:rPr>
        <w:t>Éclairage de surfaces dense et étendu, mouvements ondulatoires, esthétique pixelisée graphique, fondu lumineux, effets de poursuite ou puissants accents stroboscopiques : les nouvelles solutions de la série OTOS </w:t>
      </w:r>
      <w:proofErr w:type="spellStart"/>
      <w:r>
        <w:rPr>
          <w:rFonts w:ascii="Calibri" w:hAnsi="Calibri"/>
          <w:sz w:val="22"/>
        </w:rPr>
        <w:t>Linear</w:t>
      </w:r>
      <w:proofErr w:type="spellEnd"/>
      <w:r>
        <w:rPr>
          <w:rFonts w:ascii="Calibri" w:hAnsi="Calibri"/>
          <w:sz w:val="22"/>
        </w:rPr>
        <w:t xml:space="preserve"> ont été conçues pour un large éventail d’applications. Alors qu’OTOS LC12 permet d’obtenir des images lumineuses organiques et cinétiques et des effets de lumière frontale variables, notamment grâce à ses lyres inclinables individuellement, OTOS L16 se concentre sur des lignes claires et des schémas de mouvement précis et symétriques. Combinées, entre elles ainsi qu’avec les autres modèles OTOS Wash, les barres mobiles ajoutent une nouvelle dimension linéaire au spectre créatif de la série OTOS de </w:t>
      </w:r>
      <w:proofErr w:type="spellStart"/>
      <w:r>
        <w:rPr>
          <w:rFonts w:ascii="Calibri" w:hAnsi="Calibri"/>
          <w:sz w:val="22"/>
        </w:rPr>
        <w:t>Cameo</w:t>
      </w:r>
      <w:proofErr w:type="spellEnd"/>
      <w:r>
        <w:rPr>
          <w:rFonts w:ascii="Calibri" w:hAnsi="Calibri"/>
          <w:sz w:val="22"/>
        </w:rPr>
        <w:t>.</w:t>
      </w:r>
    </w:p>
    <w:p w14:paraId="09A5E8E7" w14:textId="77777777" w:rsidR="00006731" w:rsidRPr="00006731" w:rsidRDefault="00006731" w:rsidP="00006731">
      <w:pPr>
        <w:rPr>
          <w:rFonts w:ascii="Calibri" w:hAnsi="Calibri" w:cs="Calibri"/>
          <w:sz w:val="22"/>
          <w:szCs w:val="22"/>
        </w:rPr>
      </w:pPr>
    </w:p>
    <w:p w14:paraId="3CE49BDE" w14:textId="159E250D" w:rsidR="00006731" w:rsidRPr="00006731" w:rsidRDefault="00006731" w:rsidP="00006731">
      <w:pPr>
        <w:rPr>
          <w:rFonts w:ascii="Calibri" w:hAnsi="Calibri" w:cs="Calibri"/>
          <w:b/>
          <w:bCs/>
          <w:sz w:val="22"/>
          <w:szCs w:val="22"/>
        </w:rPr>
      </w:pPr>
      <w:r>
        <w:rPr>
          <w:rFonts w:ascii="Calibri" w:hAnsi="Calibri"/>
          <w:b/>
          <w:sz w:val="22"/>
        </w:rPr>
        <w:t>OTOS LC12</w:t>
      </w:r>
    </w:p>
    <w:p w14:paraId="293C6519" w14:textId="399B1918" w:rsidR="00006731" w:rsidRPr="00006731" w:rsidRDefault="00006731" w:rsidP="00006731">
      <w:pPr>
        <w:rPr>
          <w:rFonts w:ascii="Calibri" w:hAnsi="Calibri" w:cs="Calibri"/>
          <w:sz w:val="22"/>
          <w:szCs w:val="22"/>
        </w:rPr>
      </w:pPr>
      <w:r>
        <w:rPr>
          <w:rFonts w:ascii="Calibri" w:hAnsi="Calibri"/>
          <w:sz w:val="22"/>
        </w:rPr>
        <w:t>Le projecteur OTOS LC12 transforme la lumière en formes fluides, donnant vie à de spectaculaires effets de mouvement. Cette barre mobile certifiée IP65 comprend douze lyres asservies de 50 W inclinables et zoomables individuellement avec un système de mélange des couleurs RGBL. Avec une inclinaison de 206° par lyre, un zoom individuel (3,3° – 40,5°), une bande FX intégrée et une plage CCT allant de 1 800 à 10 000 kelvins, le modèle OTOS LC12 est idéal pour créer des faisceaux cinétiques et des mises en valeur visuelles marquantes, mais aussi pour générer des effets d’ambiance en couleur et en lumière blanche.</w:t>
      </w:r>
    </w:p>
    <w:p w14:paraId="0CFF3492" w14:textId="77777777" w:rsidR="00006731" w:rsidRPr="00006731" w:rsidRDefault="00006731" w:rsidP="00006731">
      <w:pPr>
        <w:rPr>
          <w:rFonts w:ascii="Calibri" w:hAnsi="Calibri" w:cs="Calibri"/>
          <w:sz w:val="22"/>
          <w:szCs w:val="22"/>
        </w:rPr>
      </w:pPr>
    </w:p>
    <w:p w14:paraId="35907944" w14:textId="4060B75E" w:rsidR="00006731" w:rsidRPr="00006731" w:rsidRDefault="00006731" w:rsidP="00006731">
      <w:pPr>
        <w:rPr>
          <w:rFonts w:ascii="Calibri" w:hAnsi="Calibri" w:cs="Calibri"/>
          <w:b/>
          <w:bCs/>
          <w:sz w:val="22"/>
          <w:szCs w:val="22"/>
        </w:rPr>
      </w:pPr>
      <w:r>
        <w:rPr>
          <w:rFonts w:ascii="Calibri" w:hAnsi="Calibri"/>
          <w:b/>
          <w:sz w:val="22"/>
        </w:rPr>
        <w:t>OTOS L16</w:t>
      </w:r>
    </w:p>
    <w:p w14:paraId="0288F056" w14:textId="52F59580" w:rsidR="00006731" w:rsidRDefault="00006731" w:rsidP="00006731">
      <w:pPr>
        <w:rPr>
          <w:rFonts w:ascii="Calibri" w:hAnsi="Calibri" w:cs="Calibri"/>
          <w:sz w:val="22"/>
          <w:szCs w:val="22"/>
        </w:rPr>
      </w:pPr>
      <w:r>
        <w:rPr>
          <w:rFonts w:ascii="Calibri" w:hAnsi="Calibri"/>
          <w:sz w:val="22"/>
        </w:rPr>
        <w:t>Également certifié IP65, le projecteur OTOS L16 complète la gamme </w:t>
      </w:r>
      <w:proofErr w:type="spellStart"/>
      <w:r>
        <w:rPr>
          <w:rFonts w:ascii="Calibri" w:hAnsi="Calibri"/>
          <w:sz w:val="22"/>
        </w:rPr>
        <w:t>Linear</w:t>
      </w:r>
      <w:proofErr w:type="spellEnd"/>
      <w:r>
        <w:rPr>
          <w:rFonts w:ascii="Calibri" w:hAnsi="Calibri"/>
          <w:sz w:val="22"/>
        </w:rPr>
        <w:t xml:space="preserve"> avec une barre mobile à LED pour des faisceaux précis, des effets symétriques et des regroupements continus de plusieurs unités. Équipé de 16 LED RGBL de</w:t>
      </w:r>
      <w:r w:rsidR="003B76EB" w:rsidRPr="004D64F3">
        <w:rPr>
          <w:rFonts w:asciiTheme="minorHAnsi" w:hAnsiTheme="minorHAnsi"/>
          <w:sz w:val="22"/>
          <w:szCs w:val="22"/>
        </w:rPr>
        <w:t xml:space="preserve"> </w:t>
      </w:r>
      <w:r>
        <w:rPr>
          <w:rFonts w:ascii="Calibri" w:hAnsi="Calibri"/>
          <w:sz w:val="22"/>
        </w:rPr>
        <w:t xml:space="preserve">50 W, il génère un rendement lumineux total de 9 000 lumens. Deux segments de zoom contrôlables indépendamment (4,6° – 37°), comprenant chacun huit lentilles, une plage d’inclinaison motorisée de 208° et une bande FX intégrée font du modèle OTOS L16 un outil polyvalent pour des effets de zoom dynamiques, des motifs lumineux fluides et des accents vibrants qui vont bien au-delà des capacités </w:t>
      </w:r>
      <w:r>
        <w:rPr>
          <w:rFonts w:ascii="Calibri" w:hAnsi="Calibri"/>
          <w:sz w:val="22"/>
        </w:rPr>
        <w:lastRenderedPageBreak/>
        <w:t>d’une barre LED statique classique. En outre, plusieurs filtres (circulaire, asymétrique, sombre, à structure en diamant) sont disponibles en option, pour plus de possibilités créatives.</w:t>
      </w:r>
    </w:p>
    <w:p w14:paraId="5A78C36B" w14:textId="77777777" w:rsidR="00006731" w:rsidRPr="00006731" w:rsidRDefault="00006731" w:rsidP="00006731">
      <w:pPr>
        <w:rPr>
          <w:rFonts w:ascii="Calibri" w:hAnsi="Calibri" w:cs="Calibri"/>
          <w:sz w:val="22"/>
          <w:szCs w:val="22"/>
        </w:rPr>
      </w:pPr>
    </w:p>
    <w:p w14:paraId="65EDD835" w14:textId="77777777" w:rsidR="00006731" w:rsidRPr="00006731" w:rsidRDefault="00006731" w:rsidP="00006731">
      <w:pPr>
        <w:rPr>
          <w:rFonts w:ascii="Calibri" w:hAnsi="Calibri" w:cs="Calibri"/>
          <w:b/>
          <w:bCs/>
          <w:sz w:val="22"/>
          <w:szCs w:val="22"/>
        </w:rPr>
      </w:pPr>
      <w:r>
        <w:rPr>
          <w:rFonts w:ascii="Calibri" w:hAnsi="Calibri"/>
          <w:b/>
          <w:sz w:val="22"/>
        </w:rPr>
        <w:t>Des couleurs uniformes et des effets harmonieux</w:t>
      </w:r>
    </w:p>
    <w:p w14:paraId="708C4F27" w14:textId="7B0B0954" w:rsidR="00006731" w:rsidRPr="00006731" w:rsidRDefault="00006731" w:rsidP="00006731">
      <w:pPr>
        <w:rPr>
          <w:rFonts w:ascii="Calibri" w:hAnsi="Calibri" w:cs="Calibri"/>
          <w:sz w:val="22"/>
          <w:szCs w:val="22"/>
        </w:rPr>
      </w:pPr>
      <w:r>
        <w:rPr>
          <w:rFonts w:ascii="Calibri" w:hAnsi="Calibri"/>
          <w:sz w:val="22"/>
        </w:rPr>
        <w:t>L’une des principales caractéristiques des nouveaux modèles OTOS </w:t>
      </w:r>
      <w:proofErr w:type="spellStart"/>
      <w:r>
        <w:rPr>
          <w:rFonts w:ascii="Calibri" w:hAnsi="Calibri"/>
          <w:sz w:val="22"/>
        </w:rPr>
        <w:t>Linear</w:t>
      </w:r>
      <w:proofErr w:type="spellEnd"/>
      <w:r>
        <w:rPr>
          <w:rFonts w:ascii="Calibri" w:hAnsi="Calibri"/>
          <w:sz w:val="22"/>
        </w:rPr>
        <w:t xml:space="preserve"> réside dans l’harmonisation visuelle et photométrique au sein de l’ensemble de la série OTOS. Grâce au mélange RGBL uniforme, les projecteurs OTOS Wash et OTOS </w:t>
      </w:r>
      <w:proofErr w:type="spellStart"/>
      <w:r>
        <w:rPr>
          <w:rFonts w:ascii="Calibri" w:hAnsi="Calibri"/>
          <w:sz w:val="22"/>
        </w:rPr>
        <w:t>Linear</w:t>
      </w:r>
      <w:proofErr w:type="spellEnd"/>
      <w:r>
        <w:rPr>
          <w:rFonts w:ascii="Calibri" w:hAnsi="Calibri"/>
          <w:sz w:val="22"/>
        </w:rPr>
        <w:t xml:space="preserve"> produisent des couleurs cohérentes, des blancs équilibrés et des effets tridimensionnels harmonieux, quel que soit le produit. Avec la bande FX, l’anneau FX et le contrôle individuel des pixels, les éclairagistes de </w:t>
      </w:r>
      <w:proofErr w:type="spellStart"/>
      <w:r>
        <w:rPr>
          <w:rFonts w:ascii="Calibri" w:hAnsi="Calibri"/>
          <w:sz w:val="22"/>
        </w:rPr>
        <w:t>Cameo</w:t>
      </w:r>
      <w:proofErr w:type="spellEnd"/>
      <w:r>
        <w:rPr>
          <w:rFonts w:ascii="Calibri" w:hAnsi="Calibri"/>
          <w:sz w:val="22"/>
        </w:rPr>
        <w:t xml:space="preserve"> sont en mesure de réaliser des scénarios d’éclairage dynamiques et de qualité constante à fort impact visuel.</w:t>
      </w:r>
    </w:p>
    <w:p w14:paraId="51C58C92" w14:textId="77777777" w:rsidR="00006731" w:rsidRPr="00006731" w:rsidRDefault="00006731" w:rsidP="00006731">
      <w:pPr>
        <w:rPr>
          <w:rFonts w:ascii="Calibri" w:hAnsi="Calibri" w:cs="Calibri"/>
          <w:sz w:val="22"/>
          <w:szCs w:val="22"/>
        </w:rPr>
      </w:pPr>
    </w:p>
    <w:p w14:paraId="1D1E9B96" w14:textId="3F6819E7" w:rsidR="00006731" w:rsidRPr="00006731" w:rsidRDefault="00006731" w:rsidP="00006731">
      <w:pPr>
        <w:rPr>
          <w:rFonts w:ascii="Calibri" w:hAnsi="Calibri" w:cs="Calibri"/>
          <w:b/>
          <w:bCs/>
          <w:sz w:val="22"/>
          <w:szCs w:val="22"/>
        </w:rPr>
      </w:pPr>
      <w:r>
        <w:rPr>
          <w:rFonts w:ascii="Calibri" w:hAnsi="Calibri"/>
          <w:b/>
          <w:sz w:val="22"/>
        </w:rPr>
        <w:t>Une conception pratique</w:t>
      </w:r>
    </w:p>
    <w:p w14:paraId="4E68165D" w14:textId="49B6C169" w:rsidR="00006731" w:rsidRDefault="00006731" w:rsidP="00006731">
      <w:pPr>
        <w:rPr>
          <w:rFonts w:ascii="Calibri" w:hAnsi="Calibri" w:cs="Calibri"/>
          <w:sz w:val="22"/>
          <w:szCs w:val="22"/>
        </w:rPr>
      </w:pPr>
      <w:r>
        <w:rPr>
          <w:rFonts w:ascii="Calibri" w:hAnsi="Calibri"/>
          <w:sz w:val="22"/>
        </w:rPr>
        <w:t xml:space="preserve">Outre les possibilités créatives, l’utilisation pratique au quotidien a été un point central dans le développement des deux modèles. Les barres mobiles OTOS LC12 et OTOS L16 sont dotées d’un boîtier robuste IP65 pour une application dans les environnements difficiles en extérieur ou en tournée, de poignées judicieusement placées pour une manipulation prompte et confortable, ainsi que d’un mécanisme de verrouillage rapide pour un montage efficace. Grâce au regroupement continu, les deux modèles peuvent également se combiner facilement pour créer des transitions fluides entre plusieurs unités. Un prérequis idéal pour les concepts d’éclairage évolutifs sur les scènes en direct, dans les festivals et productions télévisées, pour les événements d’entreprise ou dans les installations architecturales. Pour un transport facile sans encombre, </w:t>
      </w:r>
      <w:proofErr w:type="spellStart"/>
      <w:r>
        <w:rPr>
          <w:rFonts w:ascii="Calibri" w:hAnsi="Calibri"/>
          <w:sz w:val="22"/>
        </w:rPr>
        <w:t>Cameo</w:t>
      </w:r>
      <w:proofErr w:type="spellEnd"/>
      <w:r>
        <w:rPr>
          <w:rFonts w:ascii="Calibri" w:hAnsi="Calibri"/>
          <w:sz w:val="22"/>
        </w:rPr>
        <w:t xml:space="preserve"> fournit également un dispositif de verrouillage de l’inclinaison pour OTOS LC12. Celui-ci maintient les douze lyres asservies solidement en place.</w:t>
      </w:r>
    </w:p>
    <w:p w14:paraId="4DBCDE72" w14:textId="77777777" w:rsidR="00EE3473" w:rsidRPr="00006731" w:rsidRDefault="00EE3473" w:rsidP="00006731">
      <w:pPr>
        <w:rPr>
          <w:rFonts w:ascii="Calibri" w:hAnsi="Calibri" w:cs="Calibri"/>
          <w:sz w:val="22"/>
          <w:szCs w:val="22"/>
        </w:rPr>
      </w:pPr>
    </w:p>
    <w:p w14:paraId="440D2B4B" w14:textId="49636949" w:rsidR="008C0D7E" w:rsidRDefault="00006731" w:rsidP="00006731">
      <w:pPr>
        <w:rPr>
          <w:rFonts w:ascii="Calibri" w:hAnsi="Calibri" w:cs="Calibri"/>
          <w:sz w:val="22"/>
          <w:szCs w:val="22"/>
        </w:rPr>
      </w:pPr>
      <w:r>
        <w:rPr>
          <w:rFonts w:ascii="Calibri" w:hAnsi="Calibri"/>
          <w:sz w:val="22"/>
        </w:rPr>
        <w:t xml:space="preserve">Les nouveaux modèles OTOS LC12 et OTOS L16 de </w:t>
      </w:r>
      <w:proofErr w:type="spellStart"/>
      <w:r>
        <w:rPr>
          <w:rFonts w:ascii="Calibri" w:hAnsi="Calibri"/>
          <w:sz w:val="22"/>
        </w:rPr>
        <w:t>Cameo</w:t>
      </w:r>
      <w:proofErr w:type="spellEnd"/>
      <w:r>
        <w:rPr>
          <w:rFonts w:ascii="Calibri" w:hAnsi="Calibri"/>
          <w:sz w:val="22"/>
        </w:rPr>
        <w:t xml:space="preserve"> sont disponibles dès à présent.</w:t>
      </w:r>
    </w:p>
    <w:p w14:paraId="236E62B2" w14:textId="77777777" w:rsidR="00CC419B" w:rsidRPr="00795B52" w:rsidRDefault="00CC419B" w:rsidP="00CC419B">
      <w:pPr>
        <w:rPr>
          <w:rFonts w:ascii="Calibri" w:hAnsi="Calibri" w:cs="Calibri"/>
          <w:color w:val="000000" w:themeColor="text1"/>
          <w:sz w:val="22"/>
          <w:szCs w:val="22"/>
        </w:rPr>
      </w:pPr>
    </w:p>
    <w:p w14:paraId="3671C46F" w14:textId="608E5AA8" w:rsidR="003A6419" w:rsidRPr="00B0539B" w:rsidRDefault="00A523EA" w:rsidP="006D2E7A">
      <w:pPr>
        <w:pStyle w:val="KeinLeerraum"/>
        <w:rPr>
          <w:rFonts w:ascii="Calibri" w:hAnsi="Calibri" w:cs="Calibri"/>
          <w:color w:val="000000" w:themeColor="text1"/>
          <w:kern w:val="22"/>
          <w:sz w:val="22"/>
          <w:szCs w:val="22"/>
        </w:rPr>
      </w:pPr>
      <w:r w:rsidRPr="00B0539B">
        <w:rPr>
          <w:rFonts w:ascii="Calibri" w:hAnsi="Calibri"/>
          <w:kern w:val="22"/>
          <w:sz w:val="22"/>
        </w:rPr>
        <w:t>#</w:t>
      </w:r>
      <w:proofErr w:type="gramStart"/>
      <w:r w:rsidRPr="00B0539B">
        <w:rPr>
          <w:rFonts w:ascii="Calibri" w:hAnsi="Calibri"/>
          <w:kern w:val="22"/>
          <w:sz w:val="22"/>
        </w:rPr>
        <w:t xml:space="preserve">Cameo  #ForLumenBeings  </w:t>
      </w:r>
      <w:r w:rsidRPr="00B0539B">
        <w:rPr>
          <w:rFonts w:ascii="Calibri" w:hAnsi="Calibri"/>
          <w:color w:val="0D0D0D" w:themeColor="text1" w:themeTint="F2"/>
          <w:kern w:val="22"/>
          <w:sz w:val="22"/>
        </w:rPr>
        <w:t>#ProLighting  #</w:t>
      </w:r>
      <w:proofErr w:type="gramEnd"/>
      <w:r w:rsidRPr="00B0539B">
        <w:rPr>
          <w:rFonts w:ascii="Calibri" w:hAnsi="Calibri"/>
          <w:color w:val="0D0D0D" w:themeColor="text1" w:themeTint="F2"/>
          <w:kern w:val="22"/>
          <w:sz w:val="22"/>
        </w:rPr>
        <w:t>EngineeringFascination</w:t>
      </w:r>
    </w:p>
    <w:p w14:paraId="2BF223E0" w14:textId="77777777" w:rsidR="00A523EA" w:rsidRPr="00795B52" w:rsidRDefault="00A523EA" w:rsidP="006D2E7A">
      <w:pPr>
        <w:pStyle w:val="KeinLeerraum"/>
        <w:rPr>
          <w:rFonts w:ascii="Calibri" w:hAnsi="Calibri" w:cs="Calibri"/>
          <w:color w:val="0D0D0D" w:themeColor="text1" w:themeTint="F2"/>
          <w:sz w:val="22"/>
          <w:szCs w:val="22"/>
          <w:highlight w:val="yellow"/>
        </w:rPr>
      </w:pPr>
    </w:p>
    <w:p w14:paraId="45899D35" w14:textId="24899B17" w:rsidR="00E05A29" w:rsidRPr="00962CAB" w:rsidRDefault="006D2E7A" w:rsidP="00E05A29">
      <w:pPr>
        <w:rPr>
          <w:rStyle w:val="Hyperlink"/>
          <w:rFonts w:ascii="Calibri" w:hAnsi="Calibri" w:cs="Calibri"/>
          <w:sz w:val="22"/>
          <w:szCs w:val="22"/>
        </w:rPr>
      </w:pPr>
      <w:r>
        <w:rPr>
          <w:rFonts w:ascii="Calibri" w:hAnsi="Calibri"/>
          <w:b/>
          <w:sz w:val="22"/>
        </w:rPr>
        <w:t xml:space="preserve">Pour en savoir plus : </w:t>
      </w:r>
    </w:p>
    <w:p w14:paraId="69E1E3FD" w14:textId="762E7D6E" w:rsidR="004F3D40" w:rsidRPr="00B0539B" w:rsidRDefault="00002429" w:rsidP="004F3D40">
      <w:pPr>
        <w:rPr>
          <w:rFonts w:ascii="Calibri" w:hAnsi="Calibri" w:cs="Calibri"/>
          <w:sz w:val="22"/>
          <w:szCs w:val="22"/>
        </w:rPr>
      </w:pPr>
      <w:hyperlink r:id="rId10" w:history="1">
        <w:r w:rsidRPr="00B0539B">
          <w:rPr>
            <w:rStyle w:val="Hyperlink"/>
            <w:rFonts w:ascii="Calibri" w:hAnsi="Calibri"/>
            <w:sz w:val="22"/>
          </w:rPr>
          <w:t>cameolight.com/</w:t>
        </w:r>
        <w:proofErr w:type="spellStart"/>
        <w:r w:rsidRPr="00B0539B">
          <w:rPr>
            <w:rStyle w:val="Hyperlink"/>
            <w:rFonts w:ascii="Calibri" w:hAnsi="Calibri"/>
            <w:sz w:val="22"/>
          </w:rPr>
          <w:t>otos-linears</w:t>
        </w:r>
        <w:proofErr w:type="spellEnd"/>
      </w:hyperlink>
    </w:p>
    <w:p w14:paraId="579C3CBA" w14:textId="1F85C8FB" w:rsidR="004F3D40" w:rsidRPr="00544358" w:rsidRDefault="00544358" w:rsidP="00E05A29">
      <w:pPr>
        <w:rPr>
          <w:rFonts w:ascii="Calibri" w:hAnsi="Calibri"/>
          <w:sz w:val="22"/>
        </w:rPr>
      </w:pPr>
      <w:hyperlink r:id="rId11" w:history="1">
        <w:r w:rsidRPr="00544358">
          <w:rPr>
            <w:rStyle w:val="Hyperlink"/>
            <w:rFonts w:ascii="Calibri" w:hAnsi="Calibri"/>
            <w:sz w:val="22"/>
          </w:rPr>
          <w:t xml:space="preserve">Vidéo du produit de OTOS </w:t>
        </w:r>
        <w:proofErr w:type="spellStart"/>
        <w:r w:rsidRPr="00544358">
          <w:rPr>
            <w:rStyle w:val="Hyperlink"/>
            <w:rFonts w:ascii="Calibri" w:hAnsi="Calibri"/>
            <w:sz w:val="22"/>
          </w:rPr>
          <w:t>Linears</w:t>
        </w:r>
        <w:proofErr w:type="spellEnd"/>
      </w:hyperlink>
    </w:p>
    <w:p w14:paraId="0099F6AF" w14:textId="77777777" w:rsidR="00900E5E" w:rsidRPr="00B0539B" w:rsidRDefault="00900E5E" w:rsidP="00900E5E">
      <w:pPr>
        <w:rPr>
          <w:rStyle w:val="Hyperlink"/>
          <w:rFonts w:ascii="Calibri" w:eastAsia="Arial" w:hAnsi="Calibri" w:cs="Calibri"/>
          <w:b/>
          <w:bCs/>
          <w:color w:val="auto"/>
          <w:sz w:val="22"/>
          <w:szCs w:val="22"/>
          <w:u w:val="none"/>
        </w:rPr>
      </w:pPr>
      <w:hyperlink r:id="rId12" w:history="1">
        <w:r w:rsidRPr="00B0539B">
          <w:rPr>
            <w:rStyle w:val="Hyperlink"/>
            <w:rFonts w:ascii="Calibri" w:hAnsi="Calibri"/>
            <w:sz w:val="22"/>
            <w:szCs w:val="22"/>
          </w:rPr>
          <w:t>adamhall.com</w:t>
        </w:r>
      </w:hyperlink>
      <w:r w:rsidRPr="00B0539B">
        <w:rPr>
          <w:rFonts w:ascii="Calibri" w:hAnsi="Calibri"/>
          <w:sz w:val="22"/>
          <w:szCs w:val="22"/>
          <w:u w:val="single"/>
        </w:rPr>
        <w:br/>
      </w:r>
    </w:p>
    <w:p w14:paraId="154E2C94" w14:textId="77777777" w:rsidR="00544358" w:rsidRPr="00544358" w:rsidRDefault="00544358" w:rsidP="00544358">
      <w:pPr>
        <w:rPr>
          <w:rFonts w:ascii="Calibri" w:eastAsia="Tahoma" w:hAnsi="Calibri" w:cs="Mangal"/>
          <w:b/>
          <w:color w:val="808080"/>
          <w:kern w:val="1"/>
          <w:sz w:val="18"/>
        </w:rPr>
      </w:pPr>
      <w:r w:rsidRPr="00544358">
        <w:rPr>
          <w:rFonts w:ascii="Calibri" w:eastAsia="Tahoma" w:hAnsi="Calibri" w:cs="Mangal"/>
          <w:b/>
          <w:color w:val="808080"/>
          <w:kern w:val="1"/>
          <w:sz w:val="18"/>
        </w:rPr>
        <w:t>Adam Hall Group</w:t>
      </w:r>
    </w:p>
    <w:p w14:paraId="5300F5D9" w14:textId="6AF5768E" w:rsidR="000C2D39" w:rsidRDefault="00544358" w:rsidP="00544358">
      <w:pPr>
        <w:rPr>
          <w:rFonts w:ascii="Calibri" w:eastAsia="Tahoma" w:hAnsi="Calibri" w:cs="Mangal"/>
          <w:bCs/>
          <w:color w:val="808080"/>
          <w:kern w:val="1"/>
          <w:sz w:val="18"/>
        </w:rPr>
      </w:pPr>
      <w:r w:rsidRPr="00544358">
        <w:rPr>
          <w:rFonts w:ascii="Calibri" w:eastAsia="Tahoma" w:hAnsi="Calibri" w:cs="Mangal"/>
          <w:bCs/>
          <w:color w:val="808080"/>
          <w:kern w:val="1"/>
          <w:sz w:val="18"/>
        </w:rPr>
        <w:t xml:space="preserve">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w:t>
      </w:r>
      <w:proofErr w:type="gramStart"/>
      <w:r w:rsidRPr="00544358">
        <w:rPr>
          <w:rFonts w:ascii="Calibri" w:eastAsia="Tahoma" w:hAnsi="Calibri" w:cs="Mangal"/>
          <w:bCs/>
          <w:color w:val="808080"/>
          <w:kern w:val="1"/>
          <w:sz w:val="18"/>
        </w:rPr>
        <w:t>cases industriels</w:t>
      </w:r>
      <w:proofErr w:type="gramEnd"/>
      <w:r w:rsidRPr="00544358">
        <w:rPr>
          <w:rFonts w:ascii="Calibri" w:eastAsia="Tahoma" w:hAnsi="Calibri" w:cs="Mangal"/>
          <w:bCs/>
          <w:color w:val="808080"/>
          <w:kern w:val="1"/>
          <w:sz w:val="18"/>
        </w:rPr>
        <w:t xml:space="preserve">. Le groupe propose une large gamme de matériel audio et d’éclairage professionnels ainsi que de l’équipement scénique et des flight cases sous ses marques LD </w:t>
      </w:r>
      <w:proofErr w:type="spellStart"/>
      <w:r w:rsidRPr="00544358">
        <w:rPr>
          <w:rFonts w:ascii="Calibri" w:eastAsia="Tahoma" w:hAnsi="Calibri" w:cs="Mangal"/>
          <w:bCs/>
          <w:color w:val="808080"/>
          <w:kern w:val="1"/>
          <w:sz w:val="18"/>
        </w:rPr>
        <w:t>Systems</w:t>
      </w:r>
      <w:proofErr w:type="spellEnd"/>
      <w:r w:rsidRPr="00544358">
        <w:rPr>
          <w:rFonts w:ascii="Calibri" w:eastAsia="Tahoma" w:hAnsi="Calibri" w:cs="Mangal"/>
          <w:bCs/>
          <w:color w:val="808080"/>
          <w:kern w:val="1"/>
          <w:sz w:val="18"/>
        </w:rPr>
        <w:t xml:space="preserve">®, </w:t>
      </w:r>
      <w:proofErr w:type="spellStart"/>
      <w:r w:rsidRPr="00544358">
        <w:rPr>
          <w:rFonts w:ascii="Calibri" w:eastAsia="Tahoma" w:hAnsi="Calibri" w:cs="Mangal"/>
          <w:bCs/>
          <w:color w:val="808080"/>
          <w:kern w:val="1"/>
          <w:sz w:val="18"/>
        </w:rPr>
        <w:t>Cameo</w:t>
      </w:r>
      <w:proofErr w:type="spellEnd"/>
      <w:r w:rsidRPr="00544358">
        <w:rPr>
          <w:rFonts w:ascii="Calibri" w:eastAsia="Tahoma" w:hAnsi="Calibri" w:cs="Mangal"/>
          <w:bCs/>
          <w:color w:val="808080"/>
          <w:kern w:val="1"/>
          <w:sz w:val="18"/>
        </w:rPr>
        <w:t xml:space="preserve">®, Gravity®, Defender®, Palmer® et Adam Hall®.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w:t>
      </w:r>
      <w:proofErr w:type="spellStart"/>
      <w:r w:rsidRPr="00544358">
        <w:rPr>
          <w:rFonts w:ascii="Calibri" w:eastAsia="Tahoma" w:hAnsi="Calibri" w:cs="Mangal"/>
          <w:bCs/>
          <w:color w:val="808080"/>
          <w:kern w:val="1"/>
          <w:sz w:val="18"/>
        </w:rPr>
        <w:t>Award</w:t>
      </w:r>
      <w:proofErr w:type="spellEnd"/>
      <w:r w:rsidRPr="00544358">
        <w:rPr>
          <w:rFonts w:ascii="Calibri" w:eastAsia="Tahoma" w:hAnsi="Calibri" w:cs="Mangal"/>
          <w:bCs/>
          <w:color w:val="808080"/>
          <w:kern w:val="1"/>
          <w:sz w:val="18"/>
        </w:rPr>
        <w:t xml:space="preserve"> » et l</w:t>
      </w:r>
      <w:proofErr w:type="gramStart"/>
      <w:r w:rsidRPr="00544358">
        <w:rPr>
          <w:rFonts w:ascii="Calibri" w:eastAsia="Tahoma" w:hAnsi="Calibri" w:cs="Mangal"/>
          <w:bCs/>
          <w:color w:val="808080"/>
          <w:kern w:val="1"/>
          <w:sz w:val="18"/>
        </w:rPr>
        <w:t>’«</w:t>
      </w:r>
      <w:proofErr w:type="gramEnd"/>
      <w:r w:rsidRPr="00544358">
        <w:rPr>
          <w:rFonts w:ascii="Calibri" w:eastAsia="Tahoma" w:hAnsi="Calibri" w:cs="Mangal"/>
          <w:bCs/>
          <w:color w:val="808080"/>
          <w:kern w:val="1"/>
          <w:sz w:val="18"/>
        </w:rPr>
        <w:t xml:space="preserve"> </w:t>
      </w:r>
      <w:proofErr w:type="spellStart"/>
      <w:r w:rsidRPr="00544358">
        <w:rPr>
          <w:rFonts w:ascii="Calibri" w:eastAsia="Tahoma" w:hAnsi="Calibri" w:cs="Mangal"/>
          <w:bCs/>
          <w:color w:val="808080"/>
          <w:kern w:val="1"/>
          <w:sz w:val="18"/>
        </w:rPr>
        <w:t>iF</w:t>
      </w:r>
      <w:proofErr w:type="spellEnd"/>
      <w:r w:rsidRPr="00544358">
        <w:rPr>
          <w:rFonts w:ascii="Calibri" w:eastAsia="Tahoma" w:hAnsi="Calibri" w:cs="Mangal"/>
          <w:bCs/>
          <w:color w:val="808080"/>
          <w:kern w:val="1"/>
          <w:sz w:val="18"/>
        </w:rPr>
        <w:t xml:space="preserve"> Industrie Forum Design ». Avec l’enceinte en colonne emblématique MAUI® P900, créée en collaboration avec l’agence de design F. A. Porsche, LD </w:t>
      </w:r>
      <w:proofErr w:type="spellStart"/>
      <w:r w:rsidRPr="00544358">
        <w:rPr>
          <w:rFonts w:ascii="Calibri" w:eastAsia="Tahoma" w:hAnsi="Calibri" w:cs="Mangal"/>
          <w:bCs/>
          <w:color w:val="808080"/>
          <w:kern w:val="1"/>
          <w:sz w:val="18"/>
        </w:rPr>
        <w:t>Systems</w:t>
      </w:r>
      <w:proofErr w:type="spellEnd"/>
      <w:r w:rsidRPr="00544358">
        <w:rPr>
          <w:rFonts w:ascii="Calibri" w:eastAsia="Tahoma" w:hAnsi="Calibri" w:cs="Mangal"/>
          <w:bCs/>
          <w:color w:val="808080"/>
          <w:kern w:val="1"/>
          <w:sz w:val="18"/>
        </w:rPr>
        <w:t xml:space="preserve">® montre l’avenir de la conception audio professionnelle, ce qui lui a récemment valu l’attribution du très convoité German Design </w:t>
      </w:r>
      <w:proofErr w:type="spellStart"/>
      <w:r w:rsidRPr="00544358">
        <w:rPr>
          <w:rFonts w:ascii="Calibri" w:eastAsia="Tahoma" w:hAnsi="Calibri" w:cs="Mangal"/>
          <w:bCs/>
          <w:color w:val="808080"/>
          <w:kern w:val="1"/>
          <w:sz w:val="18"/>
        </w:rPr>
        <w:t>Award</w:t>
      </w:r>
      <w:proofErr w:type="spellEnd"/>
      <w:r w:rsidRPr="00544358">
        <w:rPr>
          <w:rFonts w:ascii="Calibri" w:eastAsia="Tahoma" w:hAnsi="Calibri" w:cs="Mangal"/>
          <w:bCs/>
          <w:color w:val="808080"/>
          <w:kern w:val="1"/>
          <w:sz w:val="18"/>
        </w:rPr>
        <w:t xml:space="preserve">. Vous trouverez plus d’informations sur Adam Hall Group en ligne sur </w:t>
      </w:r>
      <w:hyperlink r:id="rId13" w:history="1">
        <w:r w:rsidRPr="00400463">
          <w:rPr>
            <w:rStyle w:val="Hyperlink"/>
            <w:rFonts w:ascii="Calibri" w:eastAsia="Tahoma" w:hAnsi="Calibri" w:cs="Mangal"/>
            <w:bCs/>
            <w:kern w:val="1"/>
            <w:sz w:val="18"/>
          </w:rPr>
          <w:t>www.adamhall.com</w:t>
        </w:r>
      </w:hyperlink>
      <w:r w:rsidRPr="00544358">
        <w:rPr>
          <w:rFonts w:ascii="Calibri" w:eastAsia="Tahoma" w:hAnsi="Calibri" w:cs="Mangal"/>
          <w:bCs/>
          <w:color w:val="808080"/>
          <w:kern w:val="1"/>
          <w:sz w:val="18"/>
        </w:rPr>
        <w:t>.</w:t>
      </w:r>
    </w:p>
    <w:p w14:paraId="00D32D2E" w14:textId="77777777" w:rsidR="00544358" w:rsidRPr="00544358" w:rsidRDefault="00544358" w:rsidP="00544358">
      <w:pPr>
        <w:rPr>
          <w:rFonts w:ascii="Calibri" w:hAnsi="Calibri" w:cs="Calibri"/>
          <w:bCs/>
          <w:vanish/>
          <w:color w:val="808080" w:themeColor="background1" w:themeShade="80"/>
          <w:sz w:val="18"/>
          <w:szCs w:val="18"/>
        </w:rPr>
      </w:pPr>
    </w:p>
    <w:sectPr w:rsidR="00544358" w:rsidRPr="00544358" w:rsidSect="00021A96">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6A206" w14:textId="77777777" w:rsidR="009E4AC2" w:rsidRDefault="009E4AC2" w:rsidP="004330C6">
      <w:r>
        <w:separator/>
      </w:r>
    </w:p>
  </w:endnote>
  <w:endnote w:type="continuationSeparator" w:id="0">
    <w:p w14:paraId="0FFFDA66" w14:textId="77777777" w:rsidR="009E4AC2" w:rsidRDefault="009E4AC2" w:rsidP="004330C6">
      <w:r>
        <w:continuationSeparator/>
      </w:r>
    </w:p>
  </w:endnote>
  <w:endnote w:type="continuationNotice" w:id="1">
    <w:p w14:paraId="368A9D71" w14:textId="77777777" w:rsidR="009E4AC2" w:rsidRDefault="009E4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11B30" w14:textId="77777777" w:rsidR="009E4AC2" w:rsidRDefault="009E4AC2" w:rsidP="004330C6">
      <w:r>
        <w:separator/>
      </w:r>
    </w:p>
  </w:footnote>
  <w:footnote w:type="continuationSeparator" w:id="0">
    <w:p w14:paraId="77071B90" w14:textId="77777777" w:rsidR="009E4AC2" w:rsidRDefault="009E4AC2" w:rsidP="004330C6">
      <w:r>
        <w:continuationSeparator/>
      </w:r>
    </w:p>
  </w:footnote>
  <w:footnote w:type="continuationNotice" w:id="1">
    <w:p w14:paraId="71C6C9B7" w14:textId="77777777" w:rsidR="009E4AC2" w:rsidRDefault="009E4A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2429"/>
    <w:rsid w:val="00006731"/>
    <w:rsid w:val="00010D62"/>
    <w:rsid w:val="00012478"/>
    <w:rsid w:val="0001272F"/>
    <w:rsid w:val="00013EB1"/>
    <w:rsid w:val="00015E13"/>
    <w:rsid w:val="00016A96"/>
    <w:rsid w:val="0002119C"/>
    <w:rsid w:val="00021A96"/>
    <w:rsid w:val="000264B5"/>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14E3"/>
    <w:rsid w:val="000A31D0"/>
    <w:rsid w:val="000A43A0"/>
    <w:rsid w:val="000A5344"/>
    <w:rsid w:val="000B4CB9"/>
    <w:rsid w:val="000B7E01"/>
    <w:rsid w:val="000C2D39"/>
    <w:rsid w:val="000C460A"/>
    <w:rsid w:val="000C5BAB"/>
    <w:rsid w:val="000C6A86"/>
    <w:rsid w:val="000D5925"/>
    <w:rsid w:val="000E1885"/>
    <w:rsid w:val="000E3EBF"/>
    <w:rsid w:val="000E679A"/>
    <w:rsid w:val="000E795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BAE"/>
    <w:rsid w:val="00136957"/>
    <w:rsid w:val="00144C5D"/>
    <w:rsid w:val="001452D7"/>
    <w:rsid w:val="00145E8F"/>
    <w:rsid w:val="001477BD"/>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A6030"/>
    <w:rsid w:val="001B0461"/>
    <w:rsid w:val="001B7E2C"/>
    <w:rsid w:val="001C15E9"/>
    <w:rsid w:val="001C2BCB"/>
    <w:rsid w:val="001C5825"/>
    <w:rsid w:val="001C5D7F"/>
    <w:rsid w:val="001D3A0C"/>
    <w:rsid w:val="001D6B8D"/>
    <w:rsid w:val="001D6F99"/>
    <w:rsid w:val="001D7657"/>
    <w:rsid w:val="001E29E8"/>
    <w:rsid w:val="001E51CC"/>
    <w:rsid w:val="001E5DDF"/>
    <w:rsid w:val="001E7D25"/>
    <w:rsid w:val="001F0A36"/>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376"/>
    <w:rsid w:val="00243B58"/>
    <w:rsid w:val="0024709A"/>
    <w:rsid w:val="00247B14"/>
    <w:rsid w:val="00247EDB"/>
    <w:rsid w:val="00253E5A"/>
    <w:rsid w:val="002544C4"/>
    <w:rsid w:val="00262160"/>
    <w:rsid w:val="00264D9A"/>
    <w:rsid w:val="0027394B"/>
    <w:rsid w:val="00275B84"/>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2BF2"/>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13F1"/>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A6419"/>
    <w:rsid w:val="003B227F"/>
    <w:rsid w:val="003B5CF0"/>
    <w:rsid w:val="003B76EB"/>
    <w:rsid w:val="003C3F56"/>
    <w:rsid w:val="003C7650"/>
    <w:rsid w:val="003C784B"/>
    <w:rsid w:val="003D4491"/>
    <w:rsid w:val="003D51DC"/>
    <w:rsid w:val="003D7D24"/>
    <w:rsid w:val="003E291B"/>
    <w:rsid w:val="003E4B2D"/>
    <w:rsid w:val="003E5409"/>
    <w:rsid w:val="003F6959"/>
    <w:rsid w:val="003F7E7D"/>
    <w:rsid w:val="00400E80"/>
    <w:rsid w:val="004037C1"/>
    <w:rsid w:val="00411C01"/>
    <w:rsid w:val="00415025"/>
    <w:rsid w:val="0042095F"/>
    <w:rsid w:val="00422766"/>
    <w:rsid w:val="00423486"/>
    <w:rsid w:val="00427E4E"/>
    <w:rsid w:val="00432C94"/>
    <w:rsid w:val="004330C6"/>
    <w:rsid w:val="00436349"/>
    <w:rsid w:val="0043686C"/>
    <w:rsid w:val="0043733D"/>
    <w:rsid w:val="00445D1E"/>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334"/>
    <w:rsid w:val="004B3599"/>
    <w:rsid w:val="004B39DF"/>
    <w:rsid w:val="004B5C13"/>
    <w:rsid w:val="004B6B8C"/>
    <w:rsid w:val="004C0829"/>
    <w:rsid w:val="004C0B62"/>
    <w:rsid w:val="004C33CB"/>
    <w:rsid w:val="004C3EC2"/>
    <w:rsid w:val="004D1323"/>
    <w:rsid w:val="004D54E9"/>
    <w:rsid w:val="004D64F3"/>
    <w:rsid w:val="004E0C87"/>
    <w:rsid w:val="004E5409"/>
    <w:rsid w:val="004F3D40"/>
    <w:rsid w:val="004F5412"/>
    <w:rsid w:val="004F6E2D"/>
    <w:rsid w:val="005049B9"/>
    <w:rsid w:val="00507E4C"/>
    <w:rsid w:val="00511C7E"/>
    <w:rsid w:val="00512A72"/>
    <w:rsid w:val="00517564"/>
    <w:rsid w:val="005208EC"/>
    <w:rsid w:val="005213E5"/>
    <w:rsid w:val="00525819"/>
    <w:rsid w:val="00526CA6"/>
    <w:rsid w:val="00532A65"/>
    <w:rsid w:val="00541386"/>
    <w:rsid w:val="0054267D"/>
    <w:rsid w:val="00544358"/>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68B"/>
    <w:rsid w:val="005F4BAD"/>
    <w:rsid w:val="006006B0"/>
    <w:rsid w:val="00600743"/>
    <w:rsid w:val="006009FE"/>
    <w:rsid w:val="00605CC6"/>
    <w:rsid w:val="00610CDC"/>
    <w:rsid w:val="006142F5"/>
    <w:rsid w:val="00625995"/>
    <w:rsid w:val="00627A89"/>
    <w:rsid w:val="00630316"/>
    <w:rsid w:val="0063132F"/>
    <w:rsid w:val="00633CC0"/>
    <w:rsid w:val="006347BB"/>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90522"/>
    <w:rsid w:val="00691110"/>
    <w:rsid w:val="006A0DA3"/>
    <w:rsid w:val="006A0E8D"/>
    <w:rsid w:val="006A2095"/>
    <w:rsid w:val="006A2793"/>
    <w:rsid w:val="006A4552"/>
    <w:rsid w:val="006A7EAF"/>
    <w:rsid w:val="006B47D1"/>
    <w:rsid w:val="006C2544"/>
    <w:rsid w:val="006C2799"/>
    <w:rsid w:val="006C42EE"/>
    <w:rsid w:val="006C45CF"/>
    <w:rsid w:val="006C64A0"/>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A59"/>
    <w:rsid w:val="00747B4C"/>
    <w:rsid w:val="00753699"/>
    <w:rsid w:val="00760CDF"/>
    <w:rsid w:val="00772A02"/>
    <w:rsid w:val="00772F69"/>
    <w:rsid w:val="0077345C"/>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7219"/>
    <w:rsid w:val="007B7E23"/>
    <w:rsid w:val="007C2056"/>
    <w:rsid w:val="007C398C"/>
    <w:rsid w:val="007C51E2"/>
    <w:rsid w:val="007C6526"/>
    <w:rsid w:val="007C7643"/>
    <w:rsid w:val="007D3C3F"/>
    <w:rsid w:val="007D7353"/>
    <w:rsid w:val="007D7F23"/>
    <w:rsid w:val="007E04F9"/>
    <w:rsid w:val="007E1869"/>
    <w:rsid w:val="007E4B69"/>
    <w:rsid w:val="007F3035"/>
    <w:rsid w:val="007F7D01"/>
    <w:rsid w:val="0080094D"/>
    <w:rsid w:val="008015C5"/>
    <w:rsid w:val="00801C4C"/>
    <w:rsid w:val="00801D20"/>
    <w:rsid w:val="00804292"/>
    <w:rsid w:val="00805414"/>
    <w:rsid w:val="00806772"/>
    <w:rsid w:val="008104F2"/>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74CD"/>
    <w:rsid w:val="00861FDF"/>
    <w:rsid w:val="008635C3"/>
    <w:rsid w:val="008669F6"/>
    <w:rsid w:val="008702A1"/>
    <w:rsid w:val="00870A92"/>
    <w:rsid w:val="0087242E"/>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C706C"/>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2D79"/>
    <w:rsid w:val="008F3AD1"/>
    <w:rsid w:val="008F6AC8"/>
    <w:rsid w:val="00900E5E"/>
    <w:rsid w:val="00902A95"/>
    <w:rsid w:val="00903328"/>
    <w:rsid w:val="00903C50"/>
    <w:rsid w:val="00904362"/>
    <w:rsid w:val="009043CD"/>
    <w:rsid w:val="00905794"/>
    <w:rsid w:val="00913A6C"/>
    <w:rsid w:val="0091412C"/>
    <w:rsid w:val="00916F1C"/>
    <w:rsid w:val="00920BFE"/>
    <w:rsid w:val="0092757C"/>
    <w:rsid w:val="00931251"/>
    <w:rsid w:val="00933D02"/>
    <w:rsid w:val="00936EFD"/>
    <w:rsid w:val="00940EAA"/>
    <w:rsid w:val="00944584"/>
    <w:rsid w:val="009449DC"/>
    <w:rsid w:val="00947AFA"/>
    <w:rsid w:val="0095102E"/>
    <w:rsid w:val="0095148D"/>
    <w:rsid w:val="00956BAC"/>
    <w:rsid w:val="00956CE1"/>
    <w:rsid w:val="00962CAB"/>
    <w:rsid w:val="009643EB"/>
    <w:rsid w:val="00965D32"/>
    <w:rsid w:val="00971B78"/>
    <w:rsid w:val="0097368B"/>
    <w:rsid w:val="009778CC"/>
    <w:rsid w:val="00981769"/>
    <w:rsid w:val="00983DED"/>
    <w:rsid w:val="00984953"/>
    <w:rsid w:val="00984A15"/>
    <w:rsid w:val="009865C4"/>
    <w:rsid w:val="00991719"/>
    <w:rsid w:val="00995E3E"/>
    <w:rsid w:val="009A4D2C"/>
    <w:rsid w:val="009B1426"/>
    <w:rsid w:val="009B56F9"/>
    <w:rsid w:val="009B5B18"/>
    <w:rsid w:val="009C2121"/>
    <w:rsid w:val="009C2FC3"/>
    <w:rsid w:val="009C69EC"/>
    <w:rsid w:val="009C78B0"/>
    <w:rsid w:val="009E3A51"/>
    <w:rsid w:val="009E41F8"/>
    <w:rsid w:val="009E423B"/>
    <w:rsid w:val="009E4AC2"/>
    <w:rsid w:val="009E4CFE"/>
    <w:rsid w:val="009E56CF"/>
    <w:rsid w:val="009E7449"/>
    <w:rsid w:val="009F0FB4"/>
    <w:rsid w:val="009F16A1"/>
    <w:rsid w:val="009F251E"/>
    <w:rsid w:val="009F28D1"/>
    <w:rsid w:val="009F3620"/>
    <w:rsid w:val="009F3F06"/>
    <w:rsid w:val="00A04C99"/>
    <w:rsid w:val="00A0672C"/>
    <w:rsid w:val="00A06A83"/>
    <w:rsid w:val="00A1325D"/>
    <w:rsid w:val="00A14231"/>
    <w:rsid w:val="00A17E32"/>
    <w:rsid w:val="00A17E55"/>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3F78"/>
    <w:rsid w:val="00A9154B"/>
    <w:rsid w:val="00A947D9"/>
    <w:rsid w:val="00A96844"/>
    <w:rsid w:val="00AA02A4"/>
    <w:rsid w:val="00AA7DEA"/>
    <w:rsid w:val="00AB080D"/>
    <w:rsid w:val="00AB20F7"/>
    <w:rsid w:val="00AB2243"/>
    <w:rsid w:val="00AB4A2A"/>
    <w:rsid w:val="00AB4CD5"/>
    <w:rsid w:val="00AB5935"/>
    <w:rsid w:val="00AB70D1"/>
    <w:rsid w:val="00AB714D"/>
    <w:rsid w:val="00AC0AC7"/>
    <w:rsid w:val="00AC1756"/>
    <w:rsid w:val="00AC6A98"/>
    <w:rsid w:val="00AD4185"/>
    <w:rsid w:val="00AD56FA"/>
    <w:rsid w:val="00AE0BCA"/>
    <w:rsid w:val="00AE17AF"/>
    <w:rsid w:val="00AE7DC6"/>
    <w:rsid w:val="00AF5808"/>
    <w:rsid w:val="00AF5B54"/>
    <w:rsid w:val="00AF613A"/>
    <w:rsid w:val="00AF6B32"/>
    <w:rsid w:val="00B02624"/>
    <w:rsid w:val="00B03123"/>
    <w:rsid w:val="00B0539B"/>
    <w:rsid w:val="00B05AE5"/>
    <w:rsid w:val="00B07D6C"/>
    <w:rsid w:val="00B1016E"/>
    <w:rsid w:val="00B133D6"/>
    <w:rsid w:val="00B13524"/>
    <w:rsid w:val="00B13AE7"/>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5136"/>
    <w:rsid w:val="00C25883"/>
    <w:rsid w:val="00C328A4"/>
    <w:rsid w:val="00C34EC8"/>
    <w:rsid w:val="00C3535E"/>
    <w:rsid w:val="00C37936"/>
    <w:rsid w:val="00C428E1"/>
    <w:rsid w:val="00C432CE"/>
    <w:rsid w:val="00C43AE4"/>
    <w:rsid w:val="00C45280"/>
    <w:rsid w:val="00C4796C"/>
    <w:rsid w:val="00C47DE7"/>
    <w:rsid w:val="00C51A87"/>
    <w:rsid w:val="00C568C5"/>
    <w:rsid w:val="00C5701E"/>
    <w:rsid w:val="00C617BB"/>
    <w:rsid w:val="00C66F10"/>
    <w:rsid w:val="00C718F3"/>
    <w:rsid w:val="00C73F0D"/>
    <w:rsid w:val="00C75511"/>
    <w:rsid w:val="00C77231"/>
    <w:rsid w:val="00C77975"/>
    <w:rsid w:val="00C7798D"/>
    <w:rsid w:val="00C81614"/>
    <w:rsid w:val="00C85C87"/>
    <w:rsid w:val="00C86DA4"/>
    <w:rsid w:val="00C87249"/>
    <w:rsid w:val="00C87824"/>
    <w:rsid w:val="00C87CDB"/>
    <w:rsid w:val="00C916F3"/>
    <w:rsid w:val="00C949AB"/>
    <w:rsid w:val="00C949D2"/>
    <w:rsid w:val="00CA04B3"/>
    <w:rsid w:val="00CA11F1"/>
    <w:rsid w:val="00CB3E46"/>
    <w:rsid w:val="00CB3FDF"/>
    <w:rsid w:val="00CB5540"/>
    <w:rsid w:val="00CB6217"/>
    <w:rsid w:val="00CB6BB4"/>
    <w:rsid w:val="00CB6C44"/>
    <w:rsid w:val="00CC419B"/>
    <w:rsid w:val="00CC4FA9"/>
    <w:rsid w:val="00CD167B"/>
    <w:rsid w:val="00CD3EA8"/>
    <w:rsid w:val="00CD7F18"/>
    <w:rsid w:val="00CE28E2"/>
    <w:rsid w:val="00CE5003"/>
    <w:rsid w:val="00CF1850"/>
    <w:rsid w:val="00CF3409"/>
    <w:rsid w:val="00CF368D"/>
    <w:rsid w:val="00D00355"/>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5A2"/>
    <w:rsid w:val="00D7514C"/>
    <w:rsid w:val="00D82686"/>
    <w:rsid w:val="00D87DE6"/>
    <w:rsid w:val="00D9019A"/>
    <w:rsid w:val="00D90B71"/>
    <w:rsid w:val="00D90F15"/>
    <w:rsid w:val="00D915C1"/>
    <w:rsid w:val="00D93288"/>
    <w:rsid w:val="00DA1C53"/>
    <w:rsid w:val="00DA2287"/>
    <w:rsid w:val="00DB040D"/>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218"/>
    <w:rsid w:val="00E12EB4"/>
    <w:rsid w:val="00E1435A"/>
    <w:rsid w:val="00E1626C"/>
    <w:rsid w:val="00E20D31"/>
    <w:rsid w:val="00E22AAF"/>
    <w:rsid w:val="00E24D88"/>
    <w:rsid w:val="00E27239"/>
    <w:rsid w:val="00E33E5E"/>
    <w:rsid w:val="00E3553A"/>
    <w:rsid w:val="00E3693F"/>
    <w:rsid w:val="00E36E62"/>
    <w:rsid w:val="00E374A2"/>
    <w:rsid w:val="00E4607C"/>
    <w:rsid w:val="00E505C9"/>
    <w:rsid w:val="00E50721"/>
    <w:rsid w:val="00E62699"/>
    <w:rsid w:val="00E656F4"/>
    <w:rsid w:val="00E65984"/>
    <w:rsid w:val="00E72BA6"/>
    <w:rsid w:val="00E72D4D"/>
    <w:rsid w:val="00E7519F"/>
    <w:rsid w:val="00E8278D"/>
    <w:rsid w:val="00E83946"/>
    <w:rsid w:val="00E84890"/>
    <w:rsid w:val="00E84E6D"/>
    <w:rsid w:val="00E8654F"/>
    <w:rsid w:val="00E86932"/>
    <w:rsid w:val="00E914A3"/>
    <w:rsid w:val="00E93185"/>
    <w:rsid w:val="00E93ACA"/>
    <w:rsid w:val="00E94C2E"/>
    <w:rsid w:val="00E9699A"/>
    <w:rsid w:val="00EA0AA7"/>
    <w:rsid w:val="00EA107B"/>
    <w:rsid w:val="00EA1913"/>
    <w:rsid w:val="00EB09AA"/>
    <w:rsid w:val="00EB2DAA"/>
    <w:rsid w:val="00EB372F"/>
    <w:rsid w:val="00EB4FE9"/>
    <w:rsid w:val="00EB7DE7"/>
    <w:rsid w:val="00EB7E31"/>
    <w:rsid w:val="00EC19FF"/>
    <w:rsid w:val="00EC5E6B"/>
    <w:rsid w:val="00ED15C9"/>
    <w:rsid w:val="00ED5FC7"/>
    <w:rsid w:val="00EE0A6D"/>
    <w:rsid w:val="00EE0F8A"/>
    <w:rsid w:val="00EE3473"/>
    <w:rsid w:val="00EF0FD3"/>
    <w:rsid w:val="00EF18B8"/>
    <w:rsid w:val="00EF5D9F"/>
    <w:rsid w:val="00EF78D6"/>
    <w:rsid w:val="00F00931"/>
    <w:rsid w:val="00F00F40"/>
    <w:rsid w:val="00F03713"/>
    <w:rsid w:val="00F0562E"/>
    <w:rsid w:val="00F10AE8"/>
    <w:rsid w:val="00F111C9"/>
    <w:rsid w:val="00F1313D"/>
    <w:rsid w:val="00F14855"/>
    <w:rsid w:val="00F20970"/>
    <w:rsid w:val="00F21E77"/>
    <w:rsid w:val="00F22EA0"/>
    <w:rsid w:val="00F22FA9"/>
    <w:rsid w:val="00F27082"/>
    <w:rsid w:val="00F33265"/>
    <w:rsid w:val="00F36D0D"/>
    <w:rsid w:val="00F40FC9"/>
    <w:rsid w:val="00F4178D"/>
    <w:rsid w:val="00F41C49"/>
    <w:rsid w:val="00F43EA8"/>
    <w:rsid w:val="00F46090"/>
    <w:rsid w:val="00F47AB1"/>
    <w:rsid w:val="00F5035A"/>
    <w:rsid w:val="00F54C7F"/>
    <w:rsid w:val="00F57AD8"/>
    <w:rsid w:val="00F61F09"/>
    <w:rsid w:val="00F62431"/>
    <w:rsid w:val="00F64766"/>
    <w:rsid w:val="00F72F13"/>
    <w:rsid w:val="00F80043"/>
    <w:rsid w:val="00F81D75"/>
    <w:rsid w:val="00F840B6"/>
    <w:rsid w:val="00F85366"/>
    <w:rsid w:val="00F8772E"/>
    <w:rsid w:val="00F8784C"/>
    <w:rsid w:val="00F9352C"/>
    <w:rsid w:val="00F9640B"/>
    <w:rsid w:val="00FA0750"/>
    <w:rsid w:val="00FA0EA2"/>
    <w:rsid w:val="00FA1690"/>
    <w:rsid w:val="00FA21A8"/>
    <w:rsid w:val="00FA5790"/>
    <w:rsid w:val="00FA62EB"/>
    <w:rsid w:val="00FB09DA"/>
    <w:rsid w:val="00FB3126"/>
    <w:rsid w:val="00FB467A"/>
    <w:rsid w:val="00FB796E"/>
    <w:rsid w:val="00FC2346"/>
    <w:rsid w:val="00FC505E"/>
    <w:rsid w:val="00FC51BC"/>
    <w:rsid w:val="00FD6037"/>
    <w:rsid w:val="00FD63AF"/>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fr-FR"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kZTr9wRMyG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cameolight.com/otos-linea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86C11F-C4C6-4ACA-BE6B-6AA8015E0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137132-7286-498B-AFF6-4C09D04C3DB1}">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2472C3F2-73FD-45FA-BD92-EA96026D8D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925</Words>
  <Characters>5831</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37</cp:revision>
  <cp:lastPrinted>2026-04-20T06:30:00Z</cp:lastPrinted>
  <dcterms:created xsi:type="dcterms:W3CDTF">2024-07-17T13:43:00Z</dcterms:created>
  <dcterms:modified xsi:type="dcterms:W3CDTF">2026-04-22T13:42:00Z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